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16BFF" w14:textId="56617988" w:rsidR="00CE244E" w:rsidRDefault="00CE244E" w:rsidP="006365E3">
      <w:pPr>
        <w:pStyle w:val="Heading2"/>
        <w:rPr>
          <w:rFonts w:ascii="Open Sans" w:hAnsi="Open Sans" w:cs="Open Sans"/>
        </w:rPr>
      </w:pPr>
      <w:r w:rsidRPr="00CE244E">
        <w:rPr>
          <w:rFonts w:ascii="Open Sans" w:hAnsi="Open Sans" w:cs="Open Sans"/>
        </w:rPr>
        <w:t xml:space="preserve">Action Plan Headings </w:t>
      </w:r>
      <w:r>
        <w:rPr>
          <w:rFonts w:ascii="Open Sans" w:hAnsi="Open Sans" w:cs="Open Sans"/>
        </w:rPr>
        <w:t>–</w:t>
      </w:r>
      <w:r w:rsidRPr="00CE244E">
        <w:rPr>
          <w:rFonts w:ascii="Open Sans" w:hAnsi="Open Sans" w:cs="Open Sans"/>
        </w:rPr>
        <w:t xml:space="preserve"> Explanation</w:t>
      </w:r>
    </w:p>
    <w:tbl>
      <w:tblPr>
        <w:tblStyle w:val="TableGrid"/>
        <w:tblW w:w="9990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37"/>
        <w:gridCol w:w="3240"/>
        <w:gridCol w:w="2430"/>
        <w:gridCol w:w="2783"/>
      </w:tblGrid>
      <w:tr w:rsidR="00777F8A" w:rsidRPr="00CE244E" w14:paraId="09C45502" w14:textId="77777777" w:rsidTr="00E507BC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BC73A1" w14:textId="77777777" w:rsidR="00CE244E" w:rsidRPr="00CE244E" w:rsidRDefault="00CE244E" w:rsidP="00777F8A">
            <w:pPr>
              <w:ind w:right="-630"/>
              <w:rPr>
                <w:rFonts w:asciiTheme="minorHAnsi" w:hAnsiTheme="minorHAnsi" w:cstheme="minorHAnsi"/>
                <w:b/>
                <w:szCs w:val="22"/>
              </w:rPr>
            </w:pPr>
            <w:r w:rsidRPr="00CE244E">
              <w:rPr>
                <w:rFonts w:asciiTheme="minorHAnsi" w:hAnsiTheme="minorHAnsi" w:cstheme="minorHAnsi"/>
                <w:b/>
                <w:szCs w:val="22"/>
              </w:rPr>
              <w:t>Heading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ACBC87" w14:textId="77777777" w:rsidR="00CE244E" w:rsidRPr="00CE244E" w:rsidRDefault="00CE244E" w:rsidP="00777F8A">
            <w:pPr>
              <w:ind w:right="-630"/>
              <w:rPr>
                <w:rFonts w:asciiTheme="minorHAnsi" w:hAnsiTheme="minorHAnsi" w:cstheme="minorHAnsi"/>
                <w:b/>
                <w:szCs w:val="22"/>
              </w:rPr>
            </w:pPr>
            <w:r w:rsidRPr="00CE244E">
              <w:rPr>
                <w:rFonts w:asciiTheme="minorHAnsi" w:hAnsiTheme="minorHAnsi" w:cstheme="minorHAnsi"/>
                <w:b/>
                <w:szCs w:val="22"/>
              </w:rPr>
              <w:t>Description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C98D77" w14:textId="77777777" w:rsidR="00CE244E" w:rsidRPr="00CE244E" w:rsidRDefault="00CE244E" w:rsidP="00777F8A">
            <w:pPr>
              <w:ind w:right="-630"/>
              <w:rPr>
                <w:rFonts w:asciiTheme="minorHAnsi" w:hAnsiTheme="minorHAnsi" w:cstheme="minorHAnsi"/>
                <w:b/>
                <w:szCs w:val="22"/>
              </w:rPr>
            </w:pPr>
            <w:r w:rsidRPr="00CE244E">
              <w:rPr>
                <w:rFonts w:asciiTheme="minorHAnsi" w:hAnsiTheme="minorHAnsi" w:cstheme="minorHAnsi"/>
                <w:b/>
                <w:szCs w:val="22"/>
              </w:rPr>
              <w:t>Example #1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44E2F9" w14:textId="77777777" w:rsidR="00CE244E" w:rsidRPr="00CE244E" w:rsidRDefault="00CE244E" w:rsidP="00777F8A">
            <w:pPr>
              <w:ind w:right="-630"/>
              <w:rPr>
                <w:rFonts w:asciiTheme="minorHAnsi" w:hAnsiTheme="minorHAnsi" w:cstheme="minorHAnsi"/>
                <w:b/>
                <w:szCs w:val="22"/>
              </w:rPr>
            </w:pPr>
            <w:r w:rsidRPr="00CE244E">
              <w:rPr>
                <w:rFonts w:asciiTheme="minorHAnsi" w:hAnsiTheme="minorHAnsi" w:cstheme="minorHAnsi"/>
                <w:b/>
                <w:szCs w:val="22"/>
              </w:rPr>
              <w:t>Example #2</w:t>
            </w:r>
          </w:p>
        </w:tc>
      </w:tr>
      <w:tr w:rsidR="00CE244E" w:rsidRPr="00CE244E" w14:paraId="52F34780" w14:textId="77777777" w:rsidTr="00E507BC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4BFDEC71" w14:textId="77777777" w:rsidR="00CE244E" w:rsidRPr="00CE244E" w:rsidRDefault="00CE244E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Action - General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67648629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hAnsiTheme="minorHAnsi" w:cstheme="minorHAnsi"/>
                <w:szCs w:val="22"/>
              </w:rPr>
              <w:t>A general statement of the intent of the Action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167BCE4E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Protect existing wetlands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26A64008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Protect existing wetlands</w:t>
            </w:r>
          </w:p>
        </w:tc>
      </w:tr>
      <w:tr w:rsidR="00CE244E" w:rsidRPr="00CE244E" w14:paraId="31D7BA1F" w14:textId="77777777" w:rsidTr="00E507BC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5A0AD61C" w14:textId="77777777" w:rsidR="00CE244E" w:rsidRPr="00CE244E" w:rsidRDefault="00CE244E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Action - Specific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6CC4DD7D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hAnsiTheme="minorHAnsi" w:cstheme="minorHAnsi"/>
                <w:szCs w:val="22"/>
              </w:rPr>
              <w:t>A more specific description of the action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57720523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In all new developments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4C3BEBF3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Wetland X in location A</w:t>
            </w:r>
          </w:p>
        </w:tc>
      </w:tr>
      <w:tr w:rsidR="00CE244E" w:rsidRPr="00CE244E" w14:paraId="2CCE3C0F" w14:textId="77777777" w:rsidTr="00E507BC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3C0BFFDE" w14:textId="77777777" w:rsidR="00CE244E" w:rsidRPr="00CE244E" w:rsidRDefault="00CE244E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Type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3363C1DD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hAnsiTheme="minorHAnsi" w:cstheme="minorHAnsi"/>
                <w:szCs w:val="22"/>
              </w:rPr>
              <w:t>Choose from Retain, Manage, Restore or Create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15110970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Retain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49A3D279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Retain</w:t>
            </w:r>
          </w:p>
        </w:tc>
      </w:tr>
      <w:tr w:rsidR="00CE244E" w:rsidRPr="00CE244E" w14:paraId="3A94D2EB" w14:textId="77777777" w:rsidTr="00E507BC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7EE2C597" w14:textId="77777777" w:rsidR="00CE244E" w:rsidRPr="00CE244E" w:rsidRDefault="00CE244E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Decision Support Needs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5CC33042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hAnsiTheme="minorHAnsi" w:cstheme="minorHAnsi"/>
                <w:szCs w:val="22"/>
              </w:rPr>
              <w:t>The policies, research, resources, data, etc. needed to support implementation of the Action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471F3E4D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Stormwater Management direction needed in MDP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14A5E026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ASP for location A needs specific clauses; wetlands data for location needs to be updated</w:t>
            </w:r>
          </w:p>
        </w:tc>
      </w:tr>
      <w:tr w:rsidR="00CE244E" w:rsidRPr="00CE244E" w14:paraId="1FE17387" w14:textId="77777777" w:rsidTr="00E507BC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7A6C554A" w14:textId="77777777" w:rsidR="00CE244E" w:rsidRPr="00CE244E" w:rsidRDefault="00CE244E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Target / Monitor / Measure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2910E282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hAnsiTheme="minorHAnsi" w:cstheme="minorHAnsi"/>
                <w:szCs w:val="22"/>
              </w:rPr>
              <w:t>Any established targets, options for monitoring, reference to existing policies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07CE5AFD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Retain 80% of all existing wetlands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12855383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Retain wetlands  X, Y, Z; monitor with road maintenance annually</w:t>
            </w:r>
          </w:p>
        </w:tc>
      </w:tr>
      <w:tr w:rsidR="00CE244E" w:rsidRPr="00CE244E" w14:paraId="5F3C8168" w14:textId="77777777" w:rsidTr="00E507BC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2719B898" w14:textId="77777777" w:rsidR="00CE244E" w:rsidRPr="00CE244E" w:rsidRDefault="00CE244E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Rationale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20CB5BB0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hAnsiTheme="minorHAnsi" w:cstheme="minorHAnsi"/>
                <w:szCs w:val="22"/>
              </w:rPr>
              <w:t>Reference back to flood, drought, and/or natural infrastructure goals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348938D1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Flood and drought management across the municipality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0F558784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Augment stormwater management capacity in location A</w:t>
            </w:r>
          </w:p>
        </w:tc>
      </w:tr>
      <w:tr w:rsidR="00CE244E" w:rsidRPr="00CE244E" w14:paraId="551DAE1C" w14:textId="77777777" w:rsidTr="00E507BC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2F3D644D" w14:textId="77777777" w:rsidR="00CE244E" w:rsidRPr="00CE244E" w:rsidRDefault="00CE244E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Who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613D9891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hAnsiTheme="minorHAnsi" w:cstheme="minorHAnsi"/>
                <w:szCs w:val="22"/>
              </w:rPr>
              <w:t>The municipal departments, individuals, external partners, etc.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1312CE2B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CAO, Planning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537BF2C7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Planning, Engineering; Jane Doe is lead</w:t>
            </w:r>
          </w:p>
        </w:tc>
      </w:tr>
      <w:tr w:rsidR="00CE244E" w:rsidRPr="00CE244E" w14:paraId="7F36F66E" w14:textId="77777777" w:rsidTr="00E507BC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6EAD3EA3" w14:textId="77777777" w:rsidR="00CE244E" w:rsidRPr="00CE244E" w:rsidRDefault="00CE244E" w:rsidP="00CE244E">
            <w:pPr>
              <w:ind w:left="90" w:right="11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val="en-CA"/>
              </w:rPr>
              <w:t>Timing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0748E496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hAnsiTheme="minorHAnsi" w:cstheme="minorHAnsi"/>
                <w:szCs w:val="22"/>
              </w:rPr>
              <w:t>Some indication of the timeframe during which this Acton would occur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1275FB3A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2020-2022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14:paraId="5333A467" w14:textId="77777777" w:rsidR="00CE244E" w:rsidRPr="00CE244E" w:rsidRDefault="00CE244E" w:rsidP="00CE244E">
            <w:pPr>
              <w:ind w:left="90" w:right="124"/>
              <w:rPr>
                <w:rFonts w:asciiTheme="minorHAnsi" w:hAnsiTheme="minorHAnsi" w:cstheme="minorHAnsi"/>
                <w:szCs w:val="22"/>
              </w:rPr>
            </w:pPr>
            <w:r w:rsidRPr="00CE244E">
              <w:rPr>
                <w:rFonts w:asciiTheme="minorHAnsi" w:eastAsia="Times New Roman" w:hAnsiTheme="minorHAnsi" w:cstheme="minorHAnsi"/>
                <w:color w:val="000000"/>
                <w:szCs w:val="22"/>
                <w:lang w:val="en-CA"/>
              </w:rPr>
              <w:t>March-May 2020</w:t>
            </w:r>
          </w:p>
        </w:tc>
      </w:tr>
    </w:tbl>
    <w:p w14:paraId="2643907E" w14:textId="4B091E79" w:rsidR="001756B8" w:rsidRDefault="003F63D2" w:rsidP="006365E3">
      <w:pPr>
        <w:pStyle w:val="Heading2"/>
        <w:rPr>
          <w:rFonts w:ascii="Open Sans" w:hAnsi="Open Sans" w:cs="Open Sans"/>
        </w:rPr>
      </w:pPr>
      <w:r>
        <w:rPr>
          <w:rFonts w:ascii="Open Sans" w:hAnsi="Open Sans" w:cs="Open Sans"/>
        </w:rPr>
        <w:t>Action Types</w:t>
      </w:r>
    </w:p>
    <w:p w14:paraId="4D186101" w14:textId="77777777" w:rsidR="003F63D2" w:rsidRDefault="003F63D2" w:rsidP="003F63D2">
      <w:pPr>
        <w:pStyle w:val="Heading3"/>
      </w:pPr>
      <w:r>
        <w:t>Retain</w:t>
      </w:r>
    </w:p>
    <w:p w14:paraId="467A23F0" w14:textId="77777777" w:rsidR="003F63D2" w:rsidRDefault="003F63D2" w:rsidP="00E507BC">
      <w:pPr>
        <w:spacing w:after="60"/>
        <w:rPr>
          <w:lang w:val="en-CA"/>
        </w:rPr>
      </w:pPr>
      <w:r>
        <w:rPr>
          <w:lang w:val="en-CA"/>
        </w:rPr>
        <w:t>Actions that seek to retain, protect, or conserve existing natural infrastructure</w:t>
      </w:r>
    </w:p>
    <w:p w14:paraId="59E28255" w14:textId="77777777" w:rsidR="003F63D2" w:rsidRDefault="003F63D2" w:rsidP="003F63D2">
      <w:pPr>
        <w:pStyle w:val="Heading3"/>
      </w:pPr>
      <w:r>
        <w:t>Manage</w:t>
      </w:r>
    </w:p>
    <w:p w14:paraId="0EF0C1D3" w14:textId="77777777" w:rsidR="003F63D2" w:rsidRDefault="003F63D2" w:rsidP="00E507BC">
      <w:pPr>
        <w:spacing w:after="60"/>
        <w:rPr>
          <w:lang w:val="en-CA"/>
        </w:rPr>
      </w:pPr>
      <w:r>
        <w:rPr>
          <w:lang w:val="en-CA"/>
        </w:rPr>
        <w:t>Actions that use management practices to improve the function of natural infrastructure</w:t>
      </w:r>
    </w:p>
    <w:p w14:paraId="0629DEAF" w14:textId="77777777" w:rsidR="003F63D2" w:rsidRDefault="003F63D2" w:rsidP="003F63D2">
      <w:pPr>
        <w:pStyle w:val="Heading3"/>
        <w:rPr>
          <w:lang w:val="en-CA"/>
        </w:rPr>
      </w:pPr>
      <w:r>
        <w:t>Restore</w:t>
      </w:r>
    </w:p>
    <w:p w14:paraId="1F20C2AD" w14:textId="77777777" w:rsidR="003F63D2" w:rsidRDefault="003F63D2" w:rsidP="003F63D2">
      <w:pPr>
        <w:rPr>
          <w:lang w:val="en-CA"/>
        </w:rPr>
      </w:pPr>
      <w:r>
        <w:rPr>
          <w:lang w:val="en-CA"/>
        </w:rPr>
        <w:t>Actions that re-establish or repair natural infrastructure</w:t>
      </w:r>
    </w:p>
    <w:p w14:paraId="13B0DE5C" w14:textId="77777777" w:rsidR="003F63D2" w:rsidRDefault="003F63D2" w:rsidP="003F63D2">
      <w:pPr>
        <w:pStyle w:val="Heading3"/>
      </w:pPr>
      <w:r>
        <w:t>Create</w:t>
      </w:r>
    </w:p>
    <w:p w14:paraId="6B2736E1" w14:textId="0D961E1F" w:rsidR="00642506" w:rsidRPr="00E507BC" w:rsidRDefault="003F63D2" w:rsidP="00E507BC">
      <w:pPr>
        <w:spacing w:after="60"/>
        <w:rPr>
          <w:lang w:val="en-CA"/>
        </w:rPr>
      </w:pPr>
      <w:r>
        <w:rPr>
          <w:lang w:val="en-CA"/>
        </w:rPr>
        <w:t>Actions that build features to produce natural infrastructure functions</w:t>
      </w:r>
      <w:bookmarkStart w:id="0" w:name="_GoBack"/>
      <w:bookmarkEnd w:id="0"/>
    </w:p>
    <w:sectPr w:rsidR="00642506" w:rsidRPr="00E507BC" w:rsidSect="00360521">
      <w:headerReference w:type="default" r:id="rId7"/>
      <w:footerReference w:type="even" r:id="rId8"/>
      <w:footerReference w:type="default" r:id="rId9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6A1E2" w14:textId="77777777" w:rsidR="00E02244" w:rsidRDefault="00E02244" w:rsidP="00FC4B1C">
      <w:r>
        <w:separator/>
      </w:r>
    </w:p>
  </w:endnote>
  <w:endnote w:type="continuationSeparator" w:id="0">
    <w:p w14:paraId="7A2A71DA" w14:textId="77777777" w:rsidR="00E02244" w:rsidRDefault="00E02244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Semibold Italic">
    <w:altName w:val="Open Sans Semibold"/>
    <w:panose1 w:val="020B0706030804020204"/>
    <w:charset w:val="00"/>
    <w:family w:val="auto"/>
    <w:pitch w:val="variable"/>
    <w:sig w:usb0="00000001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Sans">
    <w:altName w:val="Open Sans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129BF" w14:textId="77777777" w:rsidR="00E02244" w:rsidRDefault="00E02244" w:rsidP="00FC4B1C">
      <w:r>
        <w:separator/>
      </w:r>
    </w:p>
  </w:footnote>
  <w:footnote w:type="continuationSeparator" w:id="0">
    <w:p w14:paraId="43B8FDB1" w14:textId="77777777" w:rsidR="00E02244" w:rsidRDefault="00E02244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7CD791C3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483" cy="457198"/>
          <wp:effectExtent l="0" t="0" r="0" b="63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83" cy="457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35AD4"/>
    <w:multiLevelType w:val="hybridMultilevel"/>
    <w:tmpl w:val="9418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33482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2C096C"/>
    <w:multiLevelType w:val="hybridMultilevel"/>
    <w:tmpl w:val="52307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0"/>
  </w:num>
  <w:num w:numId="12">
    <w:abstractNumId w:val="14"/>
  </w:num>
  <w:num w:numId="13">
    <w:abstractNumId w:val="22"/>
  </w:num>
  <w:num w:numId="14">
    <w:abstractNumId w:val="21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3"/>
  </w:num>
  <w:num w:numId="24">
    <w:abstractNumId w:val="25"/>
  </w:num>
  <w:num w:numId="25">
    <w:abstractNumId w:val="19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D6552"/>
    <w:rsid w:val="00227922"/>
    <w:rsid w:val="0027318E"/>
    <w:rsid w:val="0029008D"/>
    <w:rsid w:val="002D13E0"/>
    <w:rsid w:val="002D4823"/>
    <w:rsid w:val="002D6925"/>
    <w:rsid w:val="00312398"/>
    <w:rsid w:val="00360521"/>
    <w:rsid w:val="00364519"/>
    <w:rsid w:val="003F63D2"/>
    <w:rsid w:val="00444A00"/>
    <w:rsid w:val="004461CD"/>
    <w:rsid w:val="004604BD"/>
    <w:rsid w:val="004845AA"/>
    <w:rsid w:val="0049187B"/>
    <w:rsid w:val="0051226A"/>
    <w:rsid w:val="00532D49"/>
    <w:rsid w:val="00622914"/>
    <w:rsid w:val="006365E3"/>
    <w:rsid w:val="00642506"/>
    <w:rsid w:val="00651684"/>
    <w:rsid w:val="00667531"/>
    <w:rsid w:val="0068201E"/>
    <w:rsid w:val="006E62BA"/>
    <w:rsid w:val="00744004"/>
    <w:rsid w:val="007440BC"/>
    <w:rsid w:val="00754743"/>
    <w:rsid w:val="00777F8A"/>
    <w:rsid w:val="00790DAF"/>
    <w:rsid w:val="00793F54"/>
    <w:rsid w:val="00794FC0"/>
    <w:rsid w:val="00797F7F"/>
    <w:rsid w:val="007B2BA8"/>
    <w:rsid w:val="00851393"/>
    <w:rsid w:val="008E3A8A"/>
    <w:rsid w:val="00913334"/>
    <w:rsid w:val="00944E1F"/>
    <w:rsid w:val="009E1B8D"/>
    <w:rsid w:val="00A87A46"/>
    <w:rsid w:val="00B05CE2"/>
    <w:rsid w:val="00B10EF2"/>
    <w:rsid w:val="00B30A02"/>
    <w:rsid w:val="00B455B9"/>
    <w:rsid w:val="00B80088"/>
    <w:rsid w:val="00B939EC"/>
    <w:rsid w:val="00BA5CED"/>
    <w:rsid w:val="00BE55F1"/>
    <w:rsid w:val="00BF3FC5"/>
    <w:rsid w:val="00C0010B"/>
    <w:rsid w:val="00C910EA"/>
    <w:rsid w:val="00CE244E"/>
    <w:rsid w:val="00D0116A"/>
    <w:rsid w:val="00D56A9F"/>
    <w:rsid w:val="00DB255E"/>
    <w:rsid w:val="00E02244"/>
    <w:rsid w:val="00E1627B"/>
    <w:rsid w:val="00E25DB9"/>
    <w:rsid w:val="00E346C2"/>
    <w:rsid w:val="00E3747F"/>
    <w:rsid w:val="00E507BC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  <w15:docId w15:val="{E20BD587-FDE8-7647-9255-64C70D6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3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Guy Greenaway</cp:lastModifiedBy>
  <cp:revision>8</cp:revision>
  <cp:lastPrinted>2019-10-24T22:20:00Z</cp:lastPrinted>
  <dcterms:created xsi:type="dcterms:W3CDTF">2019-11-26T18:05:00Z</dcterms:created>
  <dcterms:modified xsi:type="dcterms:W3CDTF">2019-12-02T16:37:00Z</dcterms:modified>
</cp:coreProperties>
</file>